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58" w:type="dxa"/>
        <w:tblBorders>
          <w:insideH w:val="single" w:sz="4" w:space="0" w:color="auto"/>
        </w:tblBorders>
        <w:tblLayout w:type="fixed"/>
        <w:tblCellMar>
          <w:left w:w="115" w:type="dxa"/>
          <w:right w:w="115" w:type="dxa"/>
        </w:tblCellMar>
        <w:tblLook w:val="01E0" w:firstRow="1" w:lastRow="1" w:firstColumn="1" w:lastColumn="1" w:noHBand="0" w:noVBand="0"/>
      </w:tblPr>
      <w:tblGrid>
        <w:gridCol w:w="1980"/>
        <w:gridCol w:w="8178"/>
      </w:tblGrid>
      <w:tr w:rsidR="0097151B" w:rsidRPr="00F43965" w14:paraId="47727E2D" w14:textId="77777777" w:rsidTr="0097151B">
        <w:trPr>
          <w:trHeight w:val="1440"/>
        </w:trPr>
        <w:tc>
          <w:tcPr>
            <w:tcW w:w="1980" w:type="dxa"/>
            <w:noWrap/>
          </w:tcPr>
          <w:p w14:paraId="6702052C" w14:textId="77777777" w:rsidR="0097151B" w:rsidRPr="00F43965" w:rsidRDefault="0097151B" w:rsidP="00383635">
            <w:pPr>
              <w:pStyle w:val="Default"/>
              <w:rPr>
                <w:rFonts w:ascii="Arial Narrow" w:hAnsi="Arial Narrow"/>
              </w:rPr>
            </w:pPr>
            <w:r>
              <w:rPr>
                <w:noProof/>
              </w:rPr>
              <w:drawing>
                <wp:inline distT="0" distB="0" distL="0" distR="0" wp14:anchorId="0697E921" wp14:editId="0CD74F6A">
                  <wp:extent cx="1181100" cy="693420"/>
                  <wp:effectExtent l="0" t="0" r="0" b="0"/>
                  <wp:docPr id="1" name="Picture 1" descr="CHU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_Black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693420"/>
                          </a:xfrm>
                          <a:prstGeom prst="rect">
                            <a:avLst/>
                          </a:prstGeom>
                          <a:noFill/>
                          <a:ln>
                            <a:noFill/>
                          </a:ln>
                        </pic:spPr>
                      </pic:pic>
                    </a:graphicData>
                  </a:graphic>
                </wp:inline>
              </w:drawing>
            </w:r>
          </w:p>
        </w:tc>
        <w:tc>
          <w:tcPr>
            <w:tcW w:w="8178" w:type="dxa"/>
            <w:noWrap/>
          </w:tcPr>
          <w:p w14:paraId="538D545B" w14:textId="77777777" w:rsidR="0097151B" w:rsidRDefault="0097151B" w:rsidP="00383635">
            <w:pPr>
              <w:autoSpaceDE w:val="0"/>
              <w:autoSpaceDN w:val="0"/>
              <w:adjustRightInd w:val="0"/>
              <w:jc w:val="center"/>
              <w:rPr>
                <w:rFonts w:ascii="Arial" w:hAnsi="Arial" w:cs="Arial"/>
                <w:b/>
                <w:bCs/>
                <w:sz w:val="32"/>
                <w:szCs w:val="32"/>
              </w:rPr>
            </w:pPr>
          </w:p>
          <w:p w14:paraId="6FEA0C0F" w14:textId="0A05C832" w:rsidR="0097151B" w:rsidRPr="004C0409" w:rsidRDefault="0097151B" w:rsidP="00383635">
            <w:pPr>
              <w:autoSpaceDE w:val="0"/>
              <w:autoSpaceDN w:val="0"/>
              <w:adjustRightInd w:val="0"/>
              <w:jc w:val="center"/>
              <w:rPr>
                <w:rFonts w:ascii="Arial" w:hAnsi="Arial" w:cs="Arial"/>
                <w:b/>
                <w:bCs/>
                <w:sz w:val="32"/>
                <w:szCs w:val="32"/>
              </w:rPr>
            </w:pPr>
            <w:r>
              <w:rPr>
                <w:rFonts w:ascii="Arial" w:hAnsi="Arial" w:cs="Arial"/>
                <w:b/>
                <w:bCs/>
                <w:sz w:val="32"/>
                <w:szCs w:val="32"/>
              </w:rPr>
              <w:t xml:space="preserve">  </w:t>
            </w:r>
            <w:r w:rsidR="00D55139" w:rsidRPr="00D55139">
              <w:rPr>
                <w:rFonts w:ascii="Arial" w:hAnsi="Arial" w:cs="Arial"/>
                <w:b/>
                <w:bCs/>
                <w:sz w:val="32"/>
                <w:szCs w:val="32"/>
              </w:rPr>
              <w:t>Representation Regarding Certain Telecommunications and Video Surveillance Services or Equipment</w:t>
            </w:r>
            <w:r w:rsidRPr="004C0409">
              <w:rPr>
                <w:rFonts w:ascii="Arial" w:hAnsi="Arial" w:cs="Arial"/>
                <w:b/>
                <w:bCs/>
                <w:sz w:val="32"/>
                <w:szCs w:val="32"/>
              </w:rPr>
              <w:t xml:space="preserve"> </w:t>
            </w:r>
          </w:p>
          <w:p w14:paraId="00DD95F6" w14:textId="77777777" w:rsidR="0097151B" w:rsidRDefault="0097151B" w:rsidP="00383635">
            <w:pPr>
              <w:autoSpaceDE w:val="0"/>
              <w:autoSpaceDN w:val="0"/>
              <w:adjustRightInd w:val="0"/>
              <w:jc w:val="center"/>
              <w:rPr>
                <w:rFonts w:ascii="Arial" w:hAnsi="Arial" w:cs="Arial"/>
                <w:b/>
                <w:bCs/>
              </w:rPr>
            </w:pPr>
          </w:p>
          <w:p w14:paraId="4FCEB13E" w14:textId="19284D1D" w:rsidR="0097151B" w:rsidRPr="002D5324" w:rsidRDefault="0097151B" w:rsidP="0097151B">
            <w:pPr>
              <w:autoSpaceDE w:val="0"/>
              <w:autoSpaceDN w:val="0"/>
              <w:adjustRightInd w:val="0"/>
              <w:ind w:left="-925"/>
              <w:jc w:val="center"/>
              <w:rPr>
                <w:rFonts w:ascii="Arial" w:hAnsi="Arial" w:cs="Arial"/>
                <w:b/>
                <w:bCs/>
                <w:sz w:val="20"/>
                <w:szCs w:val="20"/>
              </w:rPr>
            </w:pPr>
            <w:r>
              <w:rPr>
                <w:rFonts w:ascii="Arial" w:hAnsi="Arial" w:cs="Arial"/>
                <w:b/>
                <w:bCs/>
                <w:sz w:val="20"/>
                <w:szCs w:val="20"/>
              </w:rPr>
              <w:t xml:space="preserve">(FAR Provision </w:t>
            </w:r>
            <w:r w:rsidR="00D55139">
              <w:rPr>
                <w:rFonts w:ascii="Arial" w:hAnsi="Arial" w:cs="Arial"/>
                <w:b/>
                <w:bCs/>
                <w:sz w:val="20"/>
                <w:szCs w:val="20"/>
              </w:rPr>
              <w:t>52.204-24</w:t>
            </w:r>
            <w:r>
              <w:rPr>
                <w:rFonts w:ascii="Arial" w:hAnsi="Arial" w:cs="Arial"/>
                <w:b/>
                <w:bCs/>
                <w:sz w:val="20"/>
                <w:szCs w:val="20"/>
              </w:rPr>
              <w:t xml:space="preserve">, </w:t>
            </w:r>
            <w:r w:rsidR="00D55139">
              <w:rPr>
                <w:rFonts w:ascii="Arial" w:hAnsi="Arial" w:cs="Arial"/>
                <w:b/>
                <w:bCs/>
                <w:sz w:val="20"/>
                <w:szCs w:val="20"/>
              </w:rPr>
              <w:t>August 2020</w:t>
            </w:r>
            <w:r>
              <w:rPr>
                <w:rFonts w:ascii="Arial" w:hAnsi="Arial" w:cs="Arial"/>
                <w:b/>
                <w:bCs/>
                <w:sz w:val="20"/>
                <w:szCs w:val="20"/>
              </w:rPr>
              <w:t>)</w:t>
            </w:r>
          </w:p>
        </w:tc>
      </w:tr>
    </w:tbl>
    <w:p w14:paraId="0E5F63CF" w14:textId="77777777" w:rsidR="0097151B" w:rsidRDefault="0097151B" w:rsidP="0097151B">
      <w:pPr>
        <w:pStyle w:val="Default"/>
        <w:pBdr>
          <w:bottom w:val="single" w:sz="36" w:space="0" w:color="auto"/>
        </w:pBdr>
        <w:rPr>
          <w:rFonts w:ascii="Arial Narrow" w:hAnsi="Arial Narrow" w:cs="Times New Roman"/>
          <w:color w:val="auto"/>
          <w:sz w:val="16"/>
          <w:szCs w:val="16"/>
        </w:rPr>
      </w:pPr>
    </w:p>
    <w:p w14:paraId="26959052" w14:textId="77777777" w:rsidR="008F3AA8" w:rsidRDefault="008F3AA8" w:rsidP="00EB72DC">
      <w:pPr>
        <w:pStyle w:val="NormalWeb"/>
        <w:spacing w:before="0" w:beforeAutospacing="0" w:after="0" w:afterAutospacing="0"/>
        <w:ind w:right="-446"/>
        <w:jc w:val="both"/>
        <w:rPr>
          <w:rFonts w:asciiTheme="minorHAnsi" w:hAnsiTheme="minorHAnsi"/>
          <w:sz w:val="20"/>
          <w:szCs w:val="20"/>
          <w:lang w:val="en"/>
        </w:rPr>
      </w:pPr>
      <w:bookmarkStart w:id="0" w:name="wp1140913"/>
      <w:bookmarkEnd w:id="0"/>
    </w:p>
    <w:p w14:paraId="79EFB046" w14:textId="6B74D52E" w:rsidR="00D55139" w:rsidRDefault="00D55139" w:rsidP="00EB72DC">
      <w:pPr>
        <w:pStyle w:val="NormalWeb"/>
        <w:spacing w:before="0" w:beforeAutospacing="0" w:after="120" w:afterAutospacing="0"/>
        <w:ind w:right="-446"/>
        <w:jc w:val="both"/>
        <w:rPr>
          <w:rFonts w:asciiTheme="minorHAnsi" w:hAnsiTheme="minorHAnsi"/>
          <w:sz w:val="20"/>
          <w:szCs w:val="20"/>
          <w:lang w:val="en"/>
        </w:rPr>
      </w:pPr>
      <w:r w:rsidRPr="00D55139">
        <w:rPr>
          <w:rFonts w:asciiTheme="minorHAnsi" w:hAnsiTheme="minorHAnsi"/>
          <w:sz w:val="20"/>
          <w:szCs w:val="20"/>
          <w:lang w:val="en"/>
        </w:rPr>
        <w:t xml:space="preserve">The </w:t>
      </w:r>
      <w:r w:rsidR="008F3AA8" w:rsidRPr="00D55139">
        <w:rPr>
          <w:rFonts w:asciiTheme="minorHAnsi" w:hAnsiTheme="minorHAnsi"/>
          <w:sz w:val="20"/>
          <w:szCs w:val="20"/>
          <w:lang w:val="en"/>
        </w:rPr>
        <w:t>Offer</w:t>
      </w:r>
      <w:r w:rsidR="008F3AA8">
        <w:rPr>
          <w:rFonts w:asciiTheme="minorHAnsi" w:hAnsiTheme="minorHAnsi"/>
          <w:sz w:val="20"/>
          <w:szCs w:val="20"/>
          <w:lang w:val="en"/>
        </w:rPr>
        <w:t>o</w:t>
      </w:r>
      <w:r w:rsidR="008F3AA8" w:rsidRPr="00D55139">
        <w:rPr>
          <w:rFonts w:asciiTheme="minorHAnsi" w:hAnsiTheme="minorHAnsi"/>
          <w:sz w:val="20"/>
          <w:szCs w:val="20"/>
          <w:lang w:val="en"/>
        </w:rPr>
        <w:t xml:space="preserve">r </w:t>
      </w:r>
      <w:r w:rsidRPr="00D55139">
        <w:rPr>
          <w:rFonts w:asciiTheme="minorHAnsi" w:hAnsiTheme="minorHAnsi"/>
          <w:sz w:val="20"/>
          <w:szCs w:val="20"/>
          <w:lang w:val="en"/>
        </w:rPr>
        <w:t>shall not complete the representation at paragraph (d)(</w:t>
      </w:r>
      <w:r>
        <w:rPr>
          <w:rFonts w:asciiTheme="minorHAnsi" w:hAnsiTheme="minorHAnsi"/>
          <w:sz w:val="20"/>
          <w:szCs w:val="20"/>
          <w:lang w:val="en"/>
        </w:rPr>
        <w:t>1</w:t>
      </w:r>
      <w:r w:rsidRPr="00D55139">
        <w:rPr>
          <w:rFonts w:asciiTheme="minorHAnsi" w:hAnsiTheme="minorHAnsi"/>
          <w:sz w:val="20"/>
          <w:szCs w:val="20"/>
          <w:lang w:val="en"/>
        </w:rPr>
        <w:t xml:space="preserve">) of this provision if the Offeror has represented that it "does not provide covered telecommunications equipment or services as a part of its offered products or services to the Government in the performance of any contract, subcontract, or other contractual instrument" </w:t>
      </w:r>
      <w:r w:rsidR="0033251C">
        <w:rPr>
          <w:rFonts w:asciiTheme="minorHAnsi" w:hAnsiTheme="minorHAnsi"/>
          <w:sz w:val="20"/>
          <w:szCs w:val="20"/>
          <w:lang w:val="en"/>
        </w:rPr>
        <w:t xml:space="preserve">for </w:t>
      </w:r>
      <w:r w:rsidR="0033251C" w:rsidRPr="00D55139">
        <w:rPr>
          <w:rFonts w:asciiTheme="minorHAnsi" w:hAnsiTheme="minorHAnsi"/>
          <w:sz w:val="20"/>
          <w:szCs w:val="20"/>
          <w:lang w:val="en"/>
        </w:rPr>
        <w:t xml:space="preserve">the provision at </w:t>
      </w:r>
      <w:r w:rsidR="0033251C" w:rsidRPr="00D55139">
        <w:rPr>
          <w:rFonts w:asciiTheme="minorHAnsi" w:hAnsiTheme="minorHAnsi"/>
          <w:b/>
          <w:bCs/>
          <w:sz w:val="20"/>
          <w:szCs w:val="20"/>
          <w:lang w:val="en"/>
        </w:rPr>
        <w:t>52.204-26</w:t>
      </w:r>
      <w:r w:rsidR="0033251C">
        <w:rPr>
          <w:rFonts w:asciiTheme="minorHAnsi" w:hAnsiTheme="minorHAnsi"/>
          <w:b/>
          <w:bCs/>
          <w:sz w:val="20"/>
          <w:szCs w:val="20"/>
          <w:lang w:val="en"/>
        </w:rPr>
        <w:t xml:space="preserve"> </w:t>
      </w:r>
      <w:r w:rsidRPr="00D55139">
        <w:rPr>
          <w:rFonts w:asciiTheme="minorHAnsi" w:hAnsiTheme="minorHAnsi"/>
          <w:sz w:val="20"/>
          <w:szCs w:val="20"/>
          <w:lang w:val="en"/>
        </w:rPr>
        <w:t xml:space="preserve">in </w:t>
      </w:r>
      <w:r w:rsidR="0033251C">
        <w:rPr>
          <w:rFonts w:asciiTheme="minorHAnsi" w:hAnsiTheme="minorHAnsi"/>
          <w:sz w:val="20"/>
          <w:szCs w:val="20"/>
          <w:lang w:val="en"/>
        </w:rPr>
        <w:t>either the offer</w:t>
      </w:r>
      <w:r w:rsidR="008F3AA8">
        <w:rPr>
          <w:rFonts w:asciiTheme="minorHAnsi" w:hAnsiTheme="minorHAnsi"/>
          <w:sz w:val="20"/>
          <w:szCs w:val="20"/>
          <w:lang w:val="en"/>
        </w:rPr>
        <w:t>or</w:t>
      </w:r>
      <w:r w:rsidR="0033251C">
        <w:rPr>
          <w:rFonts w:asciiTheme="minorHAnsi" w:hAnsiTheme="minorHAnsi"/>
          <w:sz w:val="20"/>
          <w:szCs w:val="20"/>
          <w:lang w:val="en"/>
        </w:rPr>
        <w:t>’s SAM.gov representations and certifications or Chugach’s Annual Representations and Certifications</w:t>
      </w:r>
      <w:r w:rsidRPr="00D55139">
        <w:rPr>
          <w:rFonts w:asciiTheme="minorHAnsi" w:hAnsiTheme="minorHAnsi"/>
          <w:sz w:val="20"/>
          <w:szCs w:val="20"/>
          <w:lang w:val="en"/>
        </w:rPr>
        <w:t>.</w:t>
      </w:r>
      <w:r w:rsidR="0033251C">
        <w:rPr>
          <w:rFonts w:asciiTheme="minorHAnsi" w:hAnsiTheme="minorHAnsi"/>
          <w:sz w:val="20"/>
          <w:szCs w:val="20"/>
          <w:lang w:val="en"/>
        </w:rPr>
        <w:t xml:space="preserve">  </w:t>
      </w:r>
      <w:r w:rsidRPr="00D55139">
        <w:rPr>
          <w:rFonts w:asciiTheme="minorHAnsi" w:hAnsiTheme="minorHAnsi"/>
          <w:sz w:val="20"/>
          <w:szCs w:val="20"/>
          <w:lang w:val="en"/>
        </w:rPr>
        <w:t xml:space="preserve"> </w:t>
      </w:r>
    </w:p>
    <w:p w14:paraId="6E4CC4F8" w14:textId="77777777" w:rsidR="00966CE1" w:rsidRPr="00966CE1" w:rsidRDefault="00966CE1" w:rsidP="00EB72DC">
      <w:pPr>
        <w:pStyle w:val="NormalWeb"/>
        <w:spacing w:before="0" w:beforeAutospacing="0" w:after="120" w:afterAutospacing="0"/>
        <w:ind w:right="-446"/>
        <w:jc w:val="both"/>
        <w:rPr>
          <w:rFonts w:asciiTheme="minorHAnsi" w:hAnsiTheme="minorHAnsi"/>
          <w:sz w:val="20"/>
          <w:szCs w:val="20"/>
          <w:lang w:val="en"/>
        </w:rPr>
      </w:pPr>
      <w:r w:rsidRPr="00966CE1">
        <w:rPr>
          <w:rFonts w:asciiTheme="minorHAnsi" w:hAnsiTheme="minorHAnsi"/>
          <w:sz w:val="20"/>
          <w:szCs w:val="20"/>
          <w:lang w:val="en"/>
        </w:rPr>
        <w:t>(a)  Definitions. As used in this provision—</w:t>
      </w:r>
    </w:p>
    <w:p w14:paraId="6EA1BCB8" w14:textId="7C233CFE" w:rsidR="00966CE1" w:rsidRPr="00966CE1" w:rsidRDefault="00966CE1" w:rsidP="00EB72DC">
      <w:pPr>
        <w:pStyle w:val="NormalWeb"/>
        <w:spacing w:before="0" w:beforeAutospacing="0" w:after="120" w:afterAutospacing="0"/>
        <w:ind w:right="-446"/>
        <w:jc w:val="both"/>
        <w:rPr>
          <w:rFonts w:asciiTheme="minorHAnsi" w:hAnsiTheme="minorHAnsi"/>
          <w:sz w:val="20"/>
          <w:szCs w:val="20"/>
          <w:lang w:val="en"/>
        </w:rPr>
      </w:pPr>
      <w:r w:rsidRPr="00966CE1">
        <w:rPr>
          <w:rFonts w:asciiTheme="minorHAnsi" w:hAnsiTheme="minorHAnsi"/>
          <w:sz w:val="20"/>
          <w:szCs w:val="20"/>
          <w:lang w:val="en"/>
        </w:rPr>
        <w:t xml:space="preserve">Backhaul, covered telecommunications equipment or services, critical technology, interconnection arrangements, reasonable inquiry, roaming, and substantial or essential component have the meanings provided in </w:t>
      </w:r>
      <w:r w:rsidR="008F3AA8">
        <w:rPr>
          <w:rFonts w:asciiTheme="minorHAnsi" w:hAnsiTheme="minorHAnsi"/>
          <w:sz w:val="20"/>
          <w:szCs w:val="20"/>
          <w:lang w:val="en"/>
        </w:rPr>
        <w:t>FAR</w:t>
      </w:r>
      <w:r w:rsidR="008F3AA8" w:rsidRPr="00966CE1">
        <w:rPr>
          <w:rFonts w:asciiTheme="minorHAnsi" w:hAnsiTheme="minorHAnsi"/>
          <w:sz w:val="20"/>
          <w:szCs w:val="20"/>
          <w:lang w:val="en"/>
        </w:rPr>
        <w:t xml:space="preserve"> </w:t>
      </w:r>
      <w:r w:rsidRPr="00966CE1">
        <w:rPr>
          <w:rFonts w:asciiTheme="minorHAnsi" w:hAnsiTheme="minorHAnsi"/>
          <w:sz w:val="20"/>
          <w:szCs w:val="20"/>
          <w:lang w:val="en"/>
        </w:rPr>
        <w:t>clause 52.204-25, Prohibition on Contracting for Certain Telecommunications and Video Surveillance Services or Equipment.</w:t>
      </w:r>
    </w:p>
    <w:p w14:paraId="604388D5" w14:textId="405BA35F" w:rsidR="00966CE1" w:rsidRDefault="00966CE1" w:rsidP="00EB72DC">
      <w:pPr>
        <w:pStyle w:val="NormalWeb"/>
        <w:spacing w:before="0" w:beforeAutospacing="0" w:after="120" w:afterAutospacing="0"/>
        <w:ind w:right="-446"/>
        <w:jc w:val="both"/>
        <w:rPr>
          <w:rFonts w:asciiTheme="minorHAnsi" w:hAnsiTheme="minorHAnsi"/>
          <w:sz w:val="20"/>
          <w:szCs w:val="20"/>
          <w:lang w:val="en"/>
        </w:rPr>
      </w:pPr>
      <w:r w:rsidRPr="00966CE1">
        <w:rPr>
          <w:rFonts w:asciiTheme="minorHAnsi" w:hAnsiTheme="minorHAnsi"/>
          <w:sz w:val="20"/>
          <w:szCs w:val="20"/>
          <w:lang w:val="en"/>
        </w:rPr>
        <w:t>(b)  Prohibition.</w:t>
      </w:r>
      <w:r>
        <w:rPr>
          <w:rFonts w:asciiTheme="minorHAnsi" w:hAnsiTheme="minorHAnsi"/>
          <w:sz w:val="20"/>
          <w:szCs w:val="20"/>
          <w:lang w:val="en"/>
        </w:rPr>
        <w:t xml:space="preserve">  </w:t>
      </w:r>
    </w:p>
    <w:p w14:paraId="1D0221C0" w14:textId="7A8BCCFA"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19D798BA" w14:textId="4BB1DF95"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w:t>
      </w:r>
      <w:proofErr w:type="spellStart"/>
      <w:r w:rsidRPr="00966CE1">
        <w:rPr>
          <w:rFonts w:asciiTheme="minorHAnsi" w:hAnsiTheme="minorHAnsi"/>
          <w:sz w:val="20"/>
          <w:szCs w:val="20"/>
          <w:lang w:val="en"/>
        </w:rPr>
        <w:t>i</w:t>
      </w:r>
      <w:proofErr w:type="spellEnd"/>
      <w:r w:rsidRPr="00966CE1">
        <w:rPr>
          <w:rFonts w:asciiTheme="minorHAnsi" w:hAnsiTheme="minorHAnsi"/>
          <w:sz w:val="20"/>
          <w:szCs w:val="20"/>
          <w:lang w:val="en"/>
        </w:rPr>
        <w:t>)  Prohibit the head of an executive agency from procuring with an entity to provide a service that connects to the facilities of a third-party, such as backhaul, roaming, or interconnection arrangements; or</w:t>
      </w:r>
    </w:p>
    <w:p w14:paraId="5DFF474E" w14:textId="1DCD4042"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(ii)  Cover telecommunications equipment that cannot route or redirect user data traffic or cannot permit visibility into any user data or packets that such equipment transmits or otherwise handles.</w:t>
      </w:r>
    </w:p>
    <w:p w14:paraId="5502F4A4" w14:textId="163F5E95"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7F5347CC" w14:textId="4B7E9975"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w:t>
      </w:r>
      <w:proofErr w:type="spellStart"/>
      <w:r w:rsidRPr="00966CE1">
        <w:rPr>
          <w:rFonts w:asciiTheme="minorHAnsi" w:hAnsiTheme="minorHAnsi"/>
          <w:sz w:val="20"/>
          <w:szCs w:val="20"/>
          <w:lang w:val="en"/>
        </w:rPr>
        <w:t>i</w:t>
      </w:r>
      <w:proofErr w:type="spellEnd"/>
      <w:r w:rsidRPr="00966CE1">
        <w:rPr>
          <w:rFonts w:asciiTheme="minorHAnsi" w:hAnsiTheme="minorHAnsi"/>
          <w:sz w:val="20"/>
          <w:szCs w:val="20"/>
          <w:lang w:val="en"/>
        </w:rPr>
        <w:t>)  Prohibit the head of an executive agency from procuring with an entity to provide a service that connects to the facilities of a third-party, such as backhaul, roaming, or interconnection arrangements; or</w:t>
      </w:r>
    </w:p>
    <w:p w14:paraId="5F918A5C" w14:textId="2E3C02B1"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(ii)  Cover telecommunications equipment that cannot route or redirect user data traffic or cannot permit visibility into any user data or packets that such equipment transmits or otherwise handles.</w:t>
      </w:r>
    </w:p>
    <w:p w14:paraId="5A1A8D24" w14:textId="3B7FBB1D" w:rsidR="00966CE1" w:rsidRPr="00966CE1" w:rsidRDefault="00966CE1" w:rsidP="00EB72DC">
      <w:pPr>
        <w:pStyle w:val="NormalWeb"/>
        <w:spacing w:before="0" w:beforeAutospacing="0" w:after="120" w:afterAutospacing="0"/>
        <w:ind w:right="-446"/>
        <w:jc w:val="both"/>
        <w:rPr>
          <w:rFonts w:asciiTheme="minorHAnsi" w:hAnsiTheme="minorHAnsi"/>
          <w:sz w:val="20"/>
          <w:szCs w:val="20"/>
          <w:lang w:val="en"/>
        </w:rPr>
      </w:pPr>
      <w:r w:rsidRPr="00966CE1">
        <w:rPr>
          <w:rFonts w:asciiTheme="minorHAnsi" w:hAnsiTheme="minorHAnsi"/>
          <w:sz w:val="20"/>
          <w:szCs w:val="20"/>
          <w:lang w:val="en"/>
        </w:rPr>
        <w:t>(c) Procedures. The Offeror shall review the list of excluded parties in the System for Award Management (SAM) (https://www.sam.gov) for entities excluded from receiving federal awards for “covered telecommunications equipment or services”.</w:t>
      </w:r>
    </w:p>
    <w:p w14:paraId="3285FD94" w14:textId="1185E5BF" w:rsidR="00966CE1" w:rsidRPr="00966CE1" w:rsidRDefault="00966CE1" w:rsidP="00EB72DC">
      <w:pPr>
        <w:pStyle w:val="NormalWeb"/>
        <w:spacing w:before="0" w:beforeAutospacing="0" w:after="120" w:afterAutospacing="0"/>
        <w:ind w:right="-446"/>
        <w:jc w:val="both"/>
        <w:rPr>
          <w:rFonts w:asciiTheme="minorHAnsi" w:hAnsiTheme="minorHAnsi"/>
          <w:sz w:val="20"/>
          <w:szCs w:val="20"/>
          <w:lang w:val="en"/>
        </w:rPr>
      </w:pPr>
      <w:r w:rsidRPr="00966CE1">
        <w:rPr>
          <w:rFonts w:asciiTheme="minorHAnsi" w:hAnsiTheme="minorHAnsi"/>
          <w:sz w:val="20"/>
          <w:szCs w:val="20"/>
          <w:lang w:val="en"/>
        </w:rPr>
        <w:t>(d)  Representation. The Offeror represents that—</w:t>
      </w:r>
    </w:p>
    <w:p w14:paraId="01B0D555" w14:textId="1F3978B9"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t xml:space="preserve">(1)  It </w:t>
      </w:r>
      <w:r w:rsidR="00AE7E41">
        <w:rPr>
          <w:rFonts w:asciiTheme="minorHAnsi" w:hAnsiTheme="minorHAnsi"/>
          <w:sz w:val="20"/>
          <w:szCs w:val="20"/>
          <w:lang w:val="en"/>
        </w:rPr>
        <w:fldChar w:fldCharType="begin">
          <w:ffData>
            <w:name w:val="Check1"/>
            <w:enabled/>
            <w:calcOnExit w:val="0"/>
            <w:checkBox>
              <w:sizeAuto/>
              <w:default w:val="0"/>
            </w:checkBox>
          </w:ffData>
        </w:fldChar>
      </w:r>
      <w:bookmarkStart w:id="1" w:name="Check1"/>
      <w:r w:rsidR="00AE7E41">
        <w:rPr>
          <w:rFonts w:asciiTheme="minorHAnsi" w:hAnsiTheme="minorHAnsi"/>
          <w:sz w:val="20"/>
          <w:szCs w:val="20"/>
          <w:lang w:val="en"/>
        </w:rPr>
        <w:instrText xml:space="preserve"> FORMCHECKBOX </w:instrText>
      </w:r>
      <w:r w:rsidR="00EF7637">
        <w:rPr>
          <w:rFonts w:asciiTheme="minorHAnsi" w:hAnsiTheme="minorHAnsi"/>
          <w:sz w:val="20"/>
          <w:szCs w:val="20"/>
          <w:lang w:val="en"/>
        </w:rPr>
      </w:r>
      <w:r w:rsidR="00EF7637">
        <w:rPr>
          <w:rFonts w:asciiTheme="minorHAnsi" w:hAnsiTheme="minorHAnsi"/>
          <w:sz w:val="20"/>
          <w:szCs w:val="20"/>
          <w:lang w:val="en"/>
        </w:rPr>
        <w:fldChar w:fldCharType="separate"/>
      </w:r>
      <w:r w:rsidR="00AE7E41">
        <w:rPr>
          <w:rFonts w:asciiTheme="minorHAnsi" w:hAnsiTheme="minorHAnsi"/>
          <w:sz w:val="20"/>
          <w:szCs w:val="20"/>
          <w:lang w:val="en"/>
        </w:rPr>
        <w:fldChar w:fldCharType="end"/>
      </w:r>
      <w:bookmarkEnd w:id="1"/>
      <w:r w:rsidRPr="00966CE1">
        <w:rPr>
          <w:rFonts w:asciiTheme="minorHAnsi" w:hAnsiTheme="minorHAnsi"/>
          <w:sz w:val="20"/>
          <w:szCs w:val="20"/>
          <w:lang w:val="en"/>
        </w:rPr>
        <w:t xml:space="preserve"> will, </w:t>
      </w:r>
      <w:r w:rsidR="00AE7E41">
        <w:rPr>
          <w:rFonts w:asciiTheme="minorHAnsi" w:hAnsiTheme="minorHAnsi"/>
          <w:sz w:val="20"/>
          <w:szCs w:val="20"/>
          <w:lang w:val="en"/>
        </w:rPr>
        <w:fldChar w:fldCharType="begin">
          <w:ffData>
            <w:name w:val="Check1"/>
            <w:enabled/>
            <w:calcOnExit w:val="0"/>
            <w:checkBox>
              <w:sizeAuto/>
              <w:default w:val="0"/>
            </w:checkBox>
          </w:ffData>
        </w:fldChar>
      </w:r>
      <w:r w:rsidR="00AE7E41">
        <w:rPr>
          <w:rFonts w:asciiTheme="minorHAnsi" w:hAnsiTheme="minorHAnsi"/>
          <w:sz w:val="20"/>
          <w:szCs w:val="20"/>
          <w:lang w:val="en"/>
        </w:rPr>
        <w:instrText xml:space="preserve"> FORMCHECKBOX </w:instrText>
      </w:r>
      <w:r w:rsidR="00EF7637">
        <w:rPr>
          <w:rFonts w:asciiTheme="minorHAnsi" w:hAnsiTheme="minorHAnsi"/>
          <w:sz w:val="20"/>
          <w:szCs w:val="20"/>
          <w:lang w:val="en"/>
        </w:rPr>
      </w:r>
      <w:r w:rsidR="00EF7637">
        <w:rPr>
          <w:rFonts w:asciiTheme="minorHAnsi" w:hAnsiTheme="minorHAnsi"/>
          <w:sz w:val="20"/>
          <w:szCs w:val="20"/>
          <w:lang w:val="en"/>
        </w:rPr>
        <w:fldChar w:fldCharType="separate"/>
      </w:r>
      <w:r w:rsidR="00AE7E41">
        <w:rPr>
          <w:rFonts w:asciiTheme="minorHAnsi" w:hAnsiTheme="minorHAnsi"/>
          <w:sz w:val="20"/>
          <w:szCs w:val="20"/>
          <w:lang w:val="en"/>
        </w:rPr>
        <w:fldChar w:fldCharType="end"/>
      </w:r>
      <w:r w:rsidRPr="00966CE1">
        <w:rPr>
          <w:rFonts w:asciiTheme="minorHAnsi" w:hAnsiTheme="minorHAnsi"/>
          <w:sz w:val="20"/>
          <w:szCs w:val="20"/>
          <w:lang w:val="en"/>
        </w:rPr>
        <w:t xml:space="preserve">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064F9EE4" w14:textId="48B1C543"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t>(2)  After conducting a reasonable inquiry, for pu</w:t>
      </w:r>
      <w:bookmarkStart w:id="2" w:name="_GoBack"/>
      <w:bookmarkEnd w:id="2"/>
      <w:r w:rsidRPr="00966CE1">
        <w:rPr>
          <w:rFonts w:asciiTheme="minorHAnsi" w:hAnsiTheme="minorHAnsi"/>
          <w:sz w:val="20"/>
          <w:szCs w:val="20"/>
          <w:lang w:val="en"/>
        </w:rPr>
        <w:t>rposes of this representation, the Offeror represents that—</w:t>
      </w:r>
    </w:p>
    <w:p w14:paraId="0F89A702" w14:textId="21C0C429"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t xml:space="preserve">It </w:t>
      </w:r>
      <w:r w:rsidR="00AE7E41">
        <w:rPr>
          <w:rFonts w:asciiTheme="minorHAnsi" w:hAnsiTheme="minorHAnsi"/>
          <w:sz w:val="20"/>
          <w:szCs w:val="20"/>
          <w:lang w:val="en"/>
        </w:rPr>
        <w:fldChar w:fldCharType="begin">
          <w:ffData>
            <w:name w:val="Check1"/>
            <w:enabled/>
            <w:calcOnExit w:val="0"/>
            <w:checkBox>
              <w:sizeAuto/>
              <w:default w:val="0"/>
            </w:checkBox>
          </w:ffData>
        </w:fldChar>
      </w:r>
      <w:r w:rsidR="00AE7E41">
        <w:rPr>
          <w:rFonts w:asciiTheme="minorHAnsi" w:hAnsiTheme="minorHAnsi"/>
          <w:sz w:val="20"/>
          <w:szCs w:val="20"/>
          <w:lang w:val="en"/>
        </w:rPr>
        <w:instrText xml:space="preserve"> FORMCHECKBOX </w:instrText>
      </w:r>
      <w:r w:rsidR="00EF7637">
        <w:rPr>
          <w:rFonts w:asciiTheme="minorHAnsi" w:hAnsiTheme="minorHAnsi"/>
          <w:sz w:val="20"/>
          <w:szCs w:val="20"/>
          <w:lang w:val="en"/>
        </w:rPr>
      </w:r>
      <w:r w:rsidR="00EF7637">
        <w:rPr>
          <w:rFonts w:asciiTheme="minorHAnsi" w:hAnsiTheme="minorHAnsi"/>
          <w:sz w:val="20"/>
          <w:szCs w:val="20"/>
          <w:lang w:val="en"/>
        </w:rPr>
        <w:fldChar w:fldCharType="separate"/>
      </w:r>
      <w:r w:rsidR="00AE7E41">
        <w:rPr>
          <w:rFonts w:asciiTheme="minorHAnsi" w:hAnsiTheme="minorHAnsi"/>
          <w:sz w:val="20"/>
          <w:szCs w:val="20"/>
          <w:lang w:val="en"/>
        </w:rPr>
        <w:fldChar w:fldCharType="end"/>
      </w:r>
      <w:r w:rsidRPr="00966CE1">
        <w:rPr>
          <w:rFonts w:asciiTheme="minorHAnsi" w:hAnsiTheme="minorHAnsi"/>
          <w:sz w:val="20"/>
          <w:szCs w:val="20"/>
          <w:lang w:val="en"/>
        </w:rPr>
        <w:t xml:space="preserve"> does, </w:t>
      </w:r>
      <w:r w:rsidR="004901BD">
        <w:rPr>
          <w:rFonts w:asciiTheme="minorHAnsi" w:hAnsiTheme="minorHAnsi"/>
          <w:sz w:val="20"/>
          <w:szCs w:val="20"/>
          <w:lang w:val="en"/>
        </w:rPr>
        <w:fldChar w:fldCharType="begin">
          <w:ffData>
            <w:name w:val="Check1"/>
            <w:enabled/>
            <w:calcOnExit w:val="0"/>
            <w:checkBox>
              <w:sizeAuto/>
              <w:default w:val="0"/>
            </w:checkBox>
          </w:ffData>
        </w:fldChar>
      </w:r>
      <w:r w:rsidR="004901BD">
        <w:rPr>
          <w:rFonts w:asciiTheme="minorHAnsi" w:hAnsiTheme="minorHAnsi"/>
          <w:sz w:val="20"/>
          <w:szCs w:val="20"/>
          <w:lang w:val="en"/>
        </w:rPr>
        <w:instrText xml:space="preserve"> FORMCHECKBOX </w:instrText>
      </w:r>
      <w:r w:rsidR="00EF7637">
        <w:rPr>
          <w:rFonts w:asciiTheme="minorHAnsi" w:hAnsiTheme="minorHAnsi"/>
          <w:sz w:val="20"/>
          <w:szCs w:val="20"/>
          <w:lang w:val="en"/>
        </w:rPr>
      </w:r>
      <w:r w:rsidR="00EF7637">
        <w:rPr>
          <w:rFonts w:asciiTheme="minorHAnsi" w:hAnsiTheme="minorHAnsi"/>
          <w:sz w:val="20"/>
          <w:szCs w:val="20"/>
          <w:lang w:val="en"/>
        </w:rPr>
        <w:fldChar w:fldCharType="separate"/>
      </w:r>
      <w:r w:rsidR="004901BD">
        <w:rPr>
          <w:rFonts w:asciiTheme="minorHAnsi" w:hAnsiTheme="minorHAnsi"/>
          <w:sz w:val="20"/>
          <w:szCs w:val="20"/>
          <w:lang w:val="en"/>
        </w:rPr>
        <w:fldChar w:fldCharType="end"/>
      </w:r>
      <w:r w:rsidRPr="00966CE1">
        <w:rPr>
          <w:rFonts w:asciiTheme="minorHAnsi" w:hAnsiTheme="minorHAnsi"/>
          <w:sz w:val="20"/>
          <w:szCs w:val="20"/>
          <w:lang w:val="en"/>
        </w:rPr>
        <w:t xml:space="preserve">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4C34D8A5" w14:textId="151F10E9" w:rsidR="00966CE1" w:rsidRPr="00966CE1" w:rsidRDefault="00966CE1" w:rsidP="00EB72DC">
      <w:pPr>
        <w:pStyle w:val="NormalWeb"/>
        <w:spacing w:before="0" w:beforeAutospacing="0" w:after="120" w:afterAutospacing="0"/>
        <w:ind w:right="-446"/>
        <w:jc w:val="both"/>
        <w:rPr>
          <w:rFonts w:asciiTheme="minorHAnsi" w:hAnsiTheme="minorHAnsi"/>
          <w:sz w:val="20"/>
          <w:szCs w:val="20"/>
          <w:lang w:val="en"/>
        </w:rPr>
      </w:pPr>
      <w:r w:rsidRPr="00966CE1">
        <w:rPr>
          <w:rFonts w:asciiTheme="minorHAnsi" w:hAnsiTheme="minorHAnsi"/>
          <w:sz w:val="20"/>
          <w:szCs w:val="20"/>
          <w:lang w:val="en"/>
        </w:rPr>
        <w:t xml:space="preserve">(e)  Disclosures. </w:t>
      </w:r>
    </w:p>
    <w:p w14:paraId="22680B2F" w14:textId="3C2E3E8A"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lastRenderedPageBreak/>
        <w:t>(1)  Disclosure for the representation in paragraph (d)(1) of this provision. If the Offeror has responded “will” in the representation in paragraph (d)(1) of this provision, the Offeror shall provide the following information as part of the offer:</w:t>
      </w:r>
    </w:p>
    <w:p w14:paraId="6A3D25C7" w14:textId="4FED0362"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w:t>
      </w:r>
      <w:proofErr w:type="spellStart"/>
      <w:r w:rsidRPr="00966CE1">
        <w:rPr>
          <w:rFonts w:asciiTheme="minorHAnsi" w:hAnsiTheme="minorHAnsi"/>
          <w:sz w:val="20"/>
          <w:szCs w:val="20"/>
          <w:lang w:val="en"/>
        </w:rPr>
        <w:t>i</w:t>
      </w:r>
      <w:proofErr w:type="spellEnd"/>
      <w:r w:rsidRPr="00966CE1">
        <w:rPr>
          <w:rFonts w:asciiTheme="minorHAnsi" w:hAnsiTheme="minorHAnsi"/>
          <w:sz w:val="20"/>
          <w:szCs w:val="20"/>
          <w:lang w:val="en"/>
        </w:rPr>
        <w:t>)  For covered equipment—</w:t>
      </w:r>
    </w:p>
    <w:p w14:paraId="7BFCAA06" w14:textId="200691A8"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(A)  The entity that produced the covered telecommunications equipment (include entity name, unique entity identifier, CAGE code, and whether the entity was the original equipment manufacturer (OEM) or a distributor, if known);</w:t>
      </w:r>
    </w:p>
    <w:p w14:paraId="37D0ADB1" w14:textId="631882FE"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(B)  A description of all covered telecommunications equipment offered (include brand; model number, such as OEM number, manufacturer part number, or wholesaler number; and item description, as applicable); and</w:t>
      </w:r>
    </w:p>
    <w:p w14:paraId="4598929B" w14:textId="2F410685"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(C)  Explanation of the proposed use of covered telecommunications equipment and any factors relevant to determining if such use would be permissible under the prohibition in paragraph (b)(1) of this provision.</w:t>
      </w:r>
    </w:p>
    <w:p w14:paraId="06E5DE8F" w14:textId="75F5C4E2"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(ii)  For covered services—</w:t>
      </w:r>
    </w:p>
    <w:p w14:paraId="4BA7714A" w14:textId="09C38676"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57CC2C6F" w14:textId="4FDA96B9"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564925ED" w14:textId="79E0C9D6" w:rsidR="00966CE1" w:rsidRPr="00966CE1" w:rsidRDefault="00966CE1" w:rsidP="00EB72DC">
      <w:pPr>
        <w:pStyle w:val="NormalWeb"/>
        <w:spacing w:before="0" w:beforeAutospacing="0" w:after="120" w:afterAutospacing="0"/>
        <w:ind w:left="270" w:right="-446"/>
        <w:jc w:val="both"/>
        <w:rPr>
          <w:rFonts w:asciiTheme="minorHAnsi" w:hAnsiTheme="minorHAnsi"/>
          <w:sz w:val="20"/>
          <w:szCs w:val="20"/>
          <w:lang w:val="en"/>
        </w:rPr>
      </w:pPr>
      <w:r w:rsidRPr="00966CE1">
        <w:rPr>
          <w:rFonts w:asciiTheme="minorHAnsi" w:hAnsiTheme="minorHAnsi"/>
          <w:sz w:val="20"/>
          <w:szCs w:val="20"/>
          <w:lang w:val="en"/>
        </w:rPr>
        <w:t>(2)  Disclosure for the representation in paragraph (d)(2) of this provision. If the Offeror has responded “does” in the representation in paragraph (d)(2) of this provision, the Offeror shall provide the following information as part of the offer:</w:t>
      </w:r>
    </w:p>
    <w:p w14:paraId="0757BBF2" w14:textId="3D2775E8"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w:t>
      </w:r>
      <w:proofErr w:type="spellStart"/>
      <w:r w:rsidRPr="00966CE1">
        <w:rPr>
          <w:rFonts w:asciiTheme="minorHAnsi" w:hAnsiTheme="minorHAnsi"/>
          <w:sz w:val="20"/>
          <w:szCs w:val="20"/>
          <w:lang w:val="en"/>
        </w:rPr>
        <w:t>i</w:t>
      </w:r>
      <w:proofErr w:type="spellEnd"/>
      <w:r w:rsidRPr="00966CE1">
        <w:rPr>
          <w:rFonts w:asciiTheme="minorHAnsi" w:hAnsiTheme="minorHAnsi"/>
          <w:sz w:val="20"/>
          <w:szCs w:val="20"/>
          <w:lang w:val="en"/>
        </w:rPr>
        <w:t>)  For covered equipment—</w:t>
      </w:r>
    </w:p>
    <w:p w14:paraId="4E695D09" w14:textId="2E471968"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(A)  The entity that produced the covered telecommunications equipment (include entity name, unique entity identifier, CAGE code, and whether the entity was the OEM or a distributor, if known);</w:t>
      </w:r>
    </w:p>
    <w:p w14:paraId="474E59EE" w14:textId="6CC3EBBC"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(B)  A description of all covered telecommunications equipment offered (include brand; model number, such as OEM number, manufacturer part number, or wholesaler number; and item description, as applicable); and</w:t>
      </w:r>
    </w:p>
    <w:p w14:paraId="6CA59854" w14:textId="3527DB06"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(C)  Explanation of the proposed use of covered telecommunications equipment and any factors relevant to determining if such use would be permissible under the prohibition in paragraph (b)(2) of this provision.</w:t>
      </w:r>
    </w:p>
    <w:p w14:paraId="35C3884D" w14:textId="1CCA980C" w:rsidR="00966CE1" w:rsidRPr="00966CE1" w:rsidRDefault="00966CE1" w:rsidP="00EB72DC">
      <w:pPr>
        <w:pStyle w:val="NormalWeb"/>
        <w:spacing w:before="0" w:beforeAutospacing="0" w:after="120" w:afterAutospacing="0"/>
        <w:ind w:left="630" w:right="-446"/>
        <w:jc w:val="both"/>
        <w:rPr>
          <w:rFonts w:asciiTheme="minorHAnsi" w:hAnsiTheme="minorHAnsi"/>
          <w:sz w:val="20"/>
          <w:szCs w:val="20"/>
          <w:lang w:val="en"/>
        </w:rPr>
      </w:pPr>
      <w:r w:rsidRPr="00966CE1">
        <w:rPr>
          <w:rFonts w:asciiTheme="minorHAnsi" w:hAnsiTheme="minorHAnsi"/>
          <w:sz w:val="20"/>
          <w:szCs w:val="20"/>
          <w:lang w:val="en"/>
        </w:rPr>
        <w:t>(ii)  For covered services—</w:t>
      </w:r>
    </w:p>
    <w:p w14:paraId="191B3998" w14:textId="2C6D8466"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13C098A3" w14:textId="5813AC1B" w:rsidR="00966CE1" w:rsidRPr="00966CE1" w:rsidRDefault="00966CE1" w:rsidP="00EB72DC">
      <w:pPr>
        <w:pStyle w:val="NormalWeb"/>
        <w:spacing w:before="0" w:beforeAutospacing="0" w:after="120" w:afterAutospacing="0"/>
        <w:ind w:left="900" w:right="-446"/>
        <w:jc w:val="both"/>
        <w:rPr>
          <w:rFonts w:asciiTheme="minorHAnsi" w:hAnsiTheme="minorHAnsi"/>
          <w:sz w:val="20"/>
          <w:szCs w:val="20"/>
          <w:lang w:val="en"/>
        </w:rPr>
      </w:pPr>
      <w:r w:rsidRPr="00966CE1">
        <w:rPr>
          <w:rFonts w:asciiTheme="minorHAnsi" w:hAnsiTheme="minorHAnsi"/>
          <w:sz w:val="20"/>
          <w:szCs w:val="20"/>
          <w:lang w:val="en"/>
        </w:rPr>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118015CD" w14:textId="4C55B7CE" w:rsidR="0097151B" w:rsidRDefault="00966CE1" w:rsidP="00EB72DC">
      <w:pPr>
        <w:pStyle w:val="NormalWeb"/>
        <w:spacing w:before="0" w:beforeAutospacing="0" w:after="120" w:afterAutospacing="0"/>
        <w:ind w:right="-446"/>
        <w:jc w:val="center"/>
        <w:rPr>
          <w:rFonts w:asciiTheme="minorHAnsi" w:hAnsiTheme="minorHAnsi"/>
          <w:sz w:val="20"/>
          <w:szCs w:val="20"/>
          <w:lang w:val="en"/>
        </w:rPr>
      </w:pPr>
      <w:r w:rsidRPr="00966CE1">
        <w:rPr>
          <w:rFonts w:asciiTheme="minorHAnsi" w:hAnsiTheme="minorHAnsi"/>
          <w:sz w:val="20"/>
          <w:szCs w:val="20"/>
          <w:lang w:val="en"/>
        </w:rPr>
        <w:t>(End of provision)</w:t>
      </w:r>
    </w:p>
    <w:p w14:paraId="28D3F497" w14:textId="77777777" w:rsidR="006732EE" w:rsidRDefault="006732EE" w:rsidP="00EB72DC">
      <w:pPr>
        <w:pStyle w:val="NormalWeb"/>
        <w:spacing w:before="0" w:beforeAutospacing="0" w:after="120" w:afterAutospacing="0"/>
        <w:ind w:right="-446"/>
        <w:jc w:val="center"/>
      </w:pPr>
    </w:p>
    <w:p w14:paraId="64E1CCD3" w14:textId="58720AAD" w:rsidR="0097151B" w:rsidRDefault="0097151B" w:rsidP="009E0371">
      <w:pPr>
        <w:tabs>
          <w:tab w:val="left" w:pos="10800"/>
        </w:tabs>
        <w:spacing w:line="288" w:lineRule="auto"/>
        <w:ind w:right="634" w:firstLine="240"/>
        <w:jc w:val="center"/>
        <w:rPr>
          <w:rFonts w:ascii="Calibri" w:hAnsi="Calibri" w:cs="Calibri"/>
          <w:color w:val="000000"/>
          <w:u w:val="single"/>
          <w:lang w:val="en"/>
        </w:rPr>
      </w:pPr>
      <w:r w:rsidRPr="004C0409">
        <w:rPr>
          <w:rFonts w:ascii="Calibri" w:hAnsi="Calibri" w:cs="Calibri"/>
          <w:color w:val="000000"/>
          <w:u w:val="single"/>
          <w:lang w:val="en"/>
        </w:rPr>
        <w:t xml:space="preserve">PLEASE SIGN AND RETURN THIS </w:t>
      </w:r>
      <w:r w:rsidR="004901BD">
        <w:rPr>
          <w:rFonts w:ascii="Calibri" w:hAnsi="Calibri" w:cs="Calibri"/>
          <w:color w:val="000000"/>
          <w:u w:val="single"/>
          <w:lang w:val="en"/>
        </w:rPr>
        <w:t xml:space="preserve">REPRESENTATION </w:t>
      </w:r>
      <w:r w:rsidRPr="004C0409">
        <w:rPr>
          <w:rFonts w:ascii="Calibri" w:hAnsi="Calibri" w:cs="Calibri"/>
          <w:color w:val="000000"/>
          <w:u w:val="single"/>
          <w:lang w:val="en"/>
        </w:rPr>
        <w:t>TO THE BUYER</w:t>
      </w:r>
    </w:p>
    <w:p w14:paraId="457BB144" w14:textId="77777777" w:rsidR="0097151B" w:rsidRPr="00EB72DC" w:rsidRDefault="0097151B" w:rsidP="009E0371">
      <w:pPr>
        <w:tabs>
          <w:tab w:val="left" w:pos="10800"/>
        </w:tabs>
        <w:spacing w:line="288" w:lineRule="auto"/>
        <w:ind w:right="634" w:firstLine="240"/>
        <w:jc w:val="both"/>
        <w:rPr>
          <w:rFonts w:ascii="Calibri" w:hAnsi="Calibri" w:cs="Calibri"/>
          <w:color w:val="000000"/>
          <w:sz w:val="4"/>
          <w:szCs w:val="4"/>
          <w:u w:val="single"/>
          <w:lang w:val="en"/>
        </w:rPr>
      </w:pPr>
    </w:p>
    <w:tbl>
      <w:tblPr>
        <w:tblW w:w="10378" w:type="dxa"/>
        <w:tblInd w:w="180" w:type="dxa"/>
        <w:tblLook w:val="04A0" w:firstRow="1" w:lastRow="0" w:firstColumn="1" w:lastColumn="0" w:noHBand="0" w:noVBand="1"/>
      </w:tblPr>
      <w:tblGrid>
        <w:gridCol w:w="3055"/>
        <w:gridCol w:w="7323"/>
      </w:tblGrid>
      <w:tr w:rsidR="004901BD" w:rsidRPr="00FF0903" w14:paraId="6E061444" w14:textId="77777777" w:rsidTr="00EB72DC">
        <w:tc>
          <w:tcPr>
            <w:tcW w:w="3055" w:type="dxa"/>
            <w:shd w:val="clear" w:color="auto" w:fill="auto"/>
          </w:tcPr>
          <w:p w14:paraId="0B439578" w14:textId="60E400FC" w:rsidR="004901BD" w:rsidRPr="00FF0903" w:rsidRDefault="004901BD" w:rsidP="009E0371">
            <w:pPr>
              <w:tabs>
                <w:tab w:val="left" w:pos="1962"/>
                <w:tab w:val="left" w:pos="10800"/>
              </w:tabs>
              <w:spacing w:line="288" w:lineRule="auto"/>
              <w:jc w:val="both"/>
              <w:rPr>
                <w:rFonts w:ascii="Calibri" w:hAnsi="Calibri" w:cs="Calibri"/>
                <w:color w:val="000000"/>
                <w:lang w:val="en"/>
              </w:rPr>
            </w:pPr>
            <w:r>
              <w:rPr>
                <w:rFonts w:ascii="Calibri" w:hAnsi="Calibri" w:cs="Calibri"/>
                <w:color w:val="000000"/>
                <w:lang w:val="en"/>
              </w:rPr>
              <w:t>Solicitation</w:t>
            </w:r>
            <w:r w:rsidR="008F3AA8">
              <w:rPr>
                <w:rFonts w:ascii="Calibri" w:hAnsi="Calibri" w:cs="Calibri"/>
                <w:color w:val="000000"/>
                <w:lang w:val="en"/>
              </w:rPr>
              <w:t xml:space="preserve">, Purchase Order, or </w:t>
            </w:r>
            <w:r>
              <w:rPr>
                <w:rFonts w:ascii="Calibri" w:hAnsi="Calibri" w:cs="Calibri"/>
                <w:color w:val="000000"/>
                <w:lang w:val="en"/>
              </w:rPr>
              <w:t>Subcontract Number:</w:t>
            </w:r>
          </w:p>
        </w:tc>
        <w:tc>
          <w:tcPr>
            <w:tcW w:w="7323" w:type="dxa"/>
            <w:tcBorders>
              <w:bottom w:val="single" w:sz="4" w:space="0" w:color="auto"/>
            </w:tcBorders>
            <w:shd w:val="clear" w:color="auto" w:fill="auto"/>
          </w:tcPr>
          <w:p w14:paraId="3AC9E294" w14:textId="77777777" w:rsidR="004901BD" w:rsidRPr="00FF0903" w:rsidRDefault="004901BD" w:rsidP="009E0371">
            <w:pPr>
              <w:tabs>
                <w:tab w:val="left" w:pos="10800"/>
              </w:tabs>
              <w:spacing w:line="288" w:lineRule="auto"/>
              <w:ind w:right="634"/>
              <w:jc w:val="both"/>
              <w:rPr>
                <w:rFonts w:ascii="Calibri" w:hAnsi="Calibri" w:cs="Calibri"/>
                <w:color w:val="000000"/>
                <w:u w:val="single"/>
                <w:lang w:val="en"/>
              </w:rPr>
            </w:pPr>
          </w:p>
        </w:tc>
      </w:tr>
      <w:tr w:rsidR="0097151B" w:rsidRPr="00FF0903" w14:paraId="7BEBDFEC" w14:textId="77777777" w:rsidTr="00EB72DC">
        <w:tc>
          <w:tcPr>
            <w:tcW w:w="3055" w:type="dxa"/>
            <w:shd w:val="clear" w:color="auto" w:fill="auto"/>
          </w:tcPr>
          <w:p w14:paraId="354C45C9" w14:textId="77777777" w:rsidR="0097151B" w:rsidRPr="00FF0903" w:rsidRDefault="0097151B" w:rsidP="009E0371">
            <w:pPr>
              <w:tabs>
                <w:tab w:val="left" w:pos="1962"/>
                <w:tab w:val="left" w:pos="10800"/>
              </w:tabs>
              <w:spacing w:line="288" w:lineRule="auto"/>
              <w:jc w:val="both"/>
              <w:rPr>
                <w:rFonts w:ascii="Calibri" w:hAnsi="Calibri" w:cs="Calibri"/>
                <w:color w:val="000000"/>
                <w:lang w:val="en"/>
              </w:rPr>
            </w:pPr>
            <w:r w:rsidRPr="00FF0903">
              <w:rPr>
                <w:rFonts w:ascii="Calibri" w:hAnsi="Calibri" w:cs="Calibri"/>
                <w:color w:val="000000"/>
                <w:lang w:val="en"/>
              </w:rPr>
              <w:t>Company Name:</w:t>
            </w:r>
          </w:p>
        </w:tc>
        <w:tc>
          <w:tcPr>
            <w:tcW w:w="7323" w:type="dxa"/>
            <w:tcBorders>
              <w:top w:val="single" w:sz="4" w:space="0" w:color="auto"/>
              <w:bottom w:val="single" w:sz="4" w:space="0" w:color="auto"/>
            </w:tcBorders>
            <w:shd w:val="clear" w:color="auto" w:fill="auto"/>
          </w:tcPr>
          <w:p w14:paraId="4A1DFFD1" w14:textId="77777777" w:rsidR="0097151B" w:rsidRPr="00FF0903" w:rsidRDefault="0097151B" w:rsidP="009E0371">
            <w:pPr>
              <w:tabs>
                <w:tab w:val="left" w:pos="10800"/>
              </w:tabs>
              <w:spacing w:line="288" w:lineRule="auto"/>
              <w:ind w:right="634"/>
              <w:jc w:val="both"/>
              <w:rPr>
                <w:rFonts w:ascii="Calibri" w:hAnsi="Calibri" w:cs="Calibri"/>
                <w:color w:val="000000"/>
                <w:u w:val="single"/>
                <w:lang w:val="en"/>
              </w:rPr>
            </w:pPr>
          </w:p>
        </w:tc>
      </w:tr>
      <w:tr w:rsidR="0097151B" w:rsidRPr="00FF0903" w14:paraId="0A2403BC" w14:textId="77777777" w:rsidTr="00EB72DC">
        <w:tc>
          <w:tcPr>
            <w:tcW w:w="3055" w:type="dxa"/>
            <w:shd w:val="clear" w:color="auto" w:fill="auto"/>
          </w:tcPr>
          <w:p w14:paraId="22FA4943" w14:textId="77777777" w:rsidR="0097151B" w:rsidRPr="00FF0903" w:rsidRDefault="0097151B" w:rsidP="009E0371">
            <w:pPr>
              <w:tabs>
                <w:tab w:val="left" w:pos="1962"/>
                <w:tab w:val="left" w:pos="10800"/>
              </w:tabs>
              <w:spacing w:line="288" w:lineRule="auto"/>
              <w:ind w:right="634"/>
              <w:jc w:val="both"/>
              <w:rPr>
                <w:rFonts w:ascii="Calibri" w:hAnsi="Calibri" w:cs="Calibri"/>
                <w:color w:val="000000"/>
                <w:lang w:val="en"/>
              </w:rPr>
            </w:pPr>
            <w:r w:rsidRPr="00FF0903">
              <w:rPr>
                <w:rFonts w:ascii="Calibri" w:hAnsi="Calibri" w:cs="Calibri"/>
                <w:color w:val="000000"/>
                <w:lang w:val="en"/>
              </w:rPr>
              <w:t>Signature:</w:t>
            </w:r>
          </w:p>
        </w:tc>
        <w:tc>
          <w:tcPr>
            <w:tcW w:w="7323" w:type="dxa"/>
            <w:tcBorders>
              <w:top w:val="single" w:sz="4" w:space="0" w:color="auto"/>
              <w:bottom w:val="single" w:sz="4" w:space="0" w:color="auto"/>
            </w:tcBorders>
            <w:shd w:val="clear" w:color="auto" w:fill="auto"/>
          </w:tcPr>
          <w:p w14:paraId="76D951CC" w14:textId="77777777" w:rsidR="0097151B" w:rsidRPr="00FF0903" w:rsidRDefault="0097151B" w:rsidP="009E0371">
            <w:pPr>
              <w:tabs>
                <w:tab w:val="left" w:pos="10800"/>
              </w:tabs>
              <w:spacing w:line="288" w:lineRule="auto"/>
              <w:ind w:right="634"/>
              <w:jc w:val="both"/>
              <w:rPr>
                <w:rFonts w:ascii="Calibri" w:hAnsi="Calibri" w:cs="Calibri"/>
                <w:color w:val="000000"/>
                <w:u w:val="single"/>
                <w:lang w:val="en"/>
              </w:rPr>
            </w:pPr>
          </w:p>
        </w:tc>
      </w:tr>
      <w:tr w:rsidR="0097151B" w:rsidRPr="00FF0903" w14:paraId="766B07E7" w14:textId="77777777" w:rsidTr="00EB72DC">
        <w:tc>
          <w:tcPr>
            <w:tcW w:w="3055" w:type="dxa"/>
            <w:shd w:val="clear" w:color="auto" w:fill="auto"/>
          </w:tcPr>
          <w:p w14:paraId="22B00A42" w14:textId="77777777" w:rsidR="0097151B" w:rsidRPr="00FF0903" w:rsidRDefault="0097151B" w:rsidP="009E0371">
            <w:pPr>
              <w:tabs>
                <w:tab w:val="left" w:pos="1962"/>
                <w:tab w:val="left" w:pos="10800"/>
              </w:tabs>
              <w:spacing w:line="288" w:lineRule="auto"/>
              <w:jc w:val="both"/>
              <w:rPr>
                <w:rFonts w:ascii="Calibri" w:hAnsi="Calibri" w:cs="Calibri"/>
                <w:color w:val="000000"/>
                <w:lang w:val="en"/>
              </w:rPr>
            </w:pPr>
            <w:r w:rsidRPr="00FF0903">
              <w:rPr>
                <w:rFonts w:ascii="Calibri" w:hAnsi="Calibri" w:cs="Calibri"/>
                <w:color w:val="000000"/>
                <w:lang w:val="en"/>
              </w:rPr>
              <w:t>Printed Name:</w:t>
            </w:r>
          </w:p>
        </w:tc>
        <w:tc>
          <w:tcPr>
            <w:tcW w:w="7323" w:type="dxa"/>
            <w:tcBorders>
              <w:top w:val="single" w:sz="4" w:space="0" w:color="auto"/>
              <w:bottom w:val="single" w:sz="4" w:space="0" w:color="auto"/>
            </w:tcBorders>
            <w:shd w:val="clear" w:color="auto" w:fill="auto"/>
          </w:tcPr>
          <w:p w14:paraId="568639FA" w14:textId="77777777" w:rsidR="0097151B" w:rsidRPr="00FF0903" w:rsidRDefault="0097151B" w:rsidP="009E0371">
            <w:pPr>
              <w:tabs>
                <w:tab w:val="left" w:pos="10800"/>
              </w:tabs>
              <w:spacing w:line="288" w:lineRule="auto"/>
              <w:ind w:right="634"/>
              <w:jc w:val="both"/>
              <w:rPr>
                <w:rFonts w:ascii="Calibri" w:hAnsi="Calibri" w:cs="Calibri"/>
                <w:color w:val="000000"/>
                <w:u w:val="single"/>
                <w:lang w:val="en"/>
              </w:rPr>
            </w:pPr>
          </w:p>
        </w:tc>
      </w:tr>
      <w:tr w:rsidR="0097151B" w:rsidRPr="00FF0903" w14:paraId="3BECC5FD" w14:textId="77777777" w:rsidTr="00EB72DC">
        <w:tc>
          <w:tcPr>
            <w:tcW w:w="3055" w:type="dxa"/>
            <w:shd w:val="clear" w:color="auto" w:fill="auto"/>
          </w:tcPr>
          <w:p w14:paraId="031B3231" w14:textId="77777777" w:rsidR="0097151B" w:rsidRPr="00FF0903" w:rsidRDefault="0097151B" w:rsidP="009E0371">
            <w:pPr>
              <w:tabs>
                <w:tab w:val="left" w:pos="1962"/>
                <w:tab w:val="left" w:pos="10800"/>
              </w:tabs>
              <w:spacing w:line="288" w:lineRule="auto"/>
              <w:ind w:right="634"/>
              <w:jc w:val="both"/>
              <w:rPr>
                <w:rFonts w:ascii="Calibri" w:hAnsi="Calibri" w:cs="Calibri"/>
                <w:color w:val="000000"/>
                <w:lang w:val="en"/>
              </w:rPr>
            </w:pPr>
            <w:r w:rsidRPr="00FF0903">
              <w:rPr>
                <w:rFonts w:ascii="Calibri" w:hAnsi="Calibri" w:cs="Calibri"/>
                <w:color w:val="000000"/>
                <w:lang w:val="en"/>
              </w:rPr>
              <w:t>Title:</w:t>
            </w:r>
          </w:p>
        </w:tc>
        <w:tc>
          <w:tcPr>
            <w:tcW w:w="7323" w:type="dxa"/>
            <w:tcBorders>
              <w:top w:val="single" w:sz="4" w:space="0" w:color="auto"/>
              <w:bottom w:val="single" w:sz="4" w:space="0" w:color="auto"/>
            </w:tcBorders>
            <w:shd w:val="clear" w:color="auto" w:fill="auto"/>
          </w:tcPr>
          <w:p w14:paraId="45612C49" w14:textId="77777777" w:rsidR="0097151B" w:rsidRPr="00FF0903" w:rsidRDefault="0097151B" w:rsidP="009E0371">
            <w:pPr>
              <w:tabs>
                <w:tab w:val="left" w:pos="10800"/>
              </w:tabs>
              <w:spacing w:line="288" w:lineRule="auto"/>
              <w:ind w:right="634"/>
              <w:jc w:val="both"/>
              <w:rPr>
                <w:rFonts w:ascii="Calibri" w:hAnsi="Calibri" w:cs="Calibri"/>
                <w:color w:val="000000"/>
                <w:u w:val="single"/>
                <w:lang w:val="en"/>
              </w:rPr>
            </w:pPr>
          </w:p>
        </w:tc>
      </w:tr>
      <w:tr w:rsidR="0097151B" w:rsidRPr="00FF0903" w14:paraId="788C66D0" w14:textId="77777777" w:rsidTr="00EB72DC">
        <w:tc>
          <w:tcPr>
            <w:tcW w:w="3055" w:type="dxa"/>
            <w:shd w:val="clear" w:color="auto" w:fill="auto"/>
          </w:tcPr>
          <w:p w14:paraId="057440BF" w14:textId="77777777" w:rsidR="0097151B" w:rsidRPr="00FF0903" w:rsidRDefault="0097151B" w:rsidP="009E0371">
            <w:pPr>
              <w:tabs>
                <w:tab w:val="left" w:pos="1962"/>
                <w:tab w:val="left" w:pos="10800"/>
              </w:tabs>
              <w:spacing w:line="288" w:lineRule="auto"/>
              <w:ind w:right="634"/>
              <w:jc w:val="both"/>
              <w:rPr>
                <w:rFonts w:ascii="Calibri" w:hAnsi="Calibri" w:cs="Calibri"/>
                <w:color w:val="000000"/>
                <w:lang w:val="en"/>
              </w:rPr>
            </w:pPr>
            <w:r w:rsidRPr="00FF0903">
              <w:rPr>
                <w:rFonts w:ascii="Calibri" w:hAnsi="Calibri" w:cs="Calibri"/>
                <w:color w:val="000000"/>
                <w:lang w:val="en"/>
              </w:rPr>
              <w:t>Date:</w:t>
            </w:r>
          </w:p>
        </w:tc>
        <w:tc>
          <w:tcPr>
            <w:tcW w:w="7323" w:type="dxa"/>
            <w:tcBorders>
              <w:top w:val="single" w:sz="4" w:space="0" w:color="auto"/>
              <w:bottom w:val="single" w:sz="4" w:space="0" w:color="auto"/>
            </w:tcBorders>
            <w:shd w:val="clear" w:color="auto" w:fill="auto"/>
          </w:tcPr>
          <w:p w14:paraId="57E49DF3" w14:textId="77777777" w:rsidR="0097151B" w:rsidRPr="00FF0903" w:rsidRDefault="0097151B" w:rsidP="009E0371">
            <w:pPr>
              <w:tabs>
                <w:tab w:val="left" w:pos="10800"/>
              </w:tabs>
              <w:spacing w:line="288" w:lineRule="auto"/>
              <w:ind w:right="634"/>
              <w:jc w:val="both"/>
              <w:rPr>
                <w:rFonts w:ascii="Calibri" w:hAnsi="Calibri" w:cs="Calibri"/>
                <w:color w:val="000000"/>
                <w:u w:val="single"/>
                <w:lang w:val="en"/>
              </w:rPr>
            </w:pPr>
          </w:p>
        </w:tc>
      </w:tr>
    </w:tbl>
    <w:p w14:paraId="3D513D36" w14:textId="77777777" w:rsidR="0097151B" w:rsidRDefault="0097151B" w:rsidP="009E0371"/>
    <w:sectPr w:rsidR="0097151B" w:rsidSect="006732EE">
      <w:footerReference w:type="default" r:id="rId11"/>
      <w:pgSz w:w="12240" w:h="15840"/>
      <w:pgMar w:top="630" w:right="1440" w:bottom="540" w:left="990" w:header="270" w:footer="1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6D0C5" w14:textId="77777777" w:rsidR="00AC4B44" w:rsidRDefault="00AC4B44" w:rsidP="0097151B">
      <w:r>
        <w:separator/>
      </w:r>
    </w:p>
  </w:endnote>
  <w:endnote w:type="continuationSeparator" w:id="0">
    <w:p w14:paraId="51AC4D22" w14:textId="77777777" w:rsidR="00AC4B44" w:rsidRDefault="00AC4B44" w:rsidP="0097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5C7E" w14:textId="78295E94" w:rsidR="0097151B" w:rsidRPr="00807DD0" w:rsidRDefault="0097151B" w:rsidP="0097151B">
    <w:pPr>
      <w:pStyle w:val="Default"/>
      <w:ind w:left="360"/>
      <w:rPr>
        <w:rFonts w:ascii="Times New Roman" w:hAnsi="Times New Roman" w:cs="Times New Roman"/>
        <w:color w:val="auto"/>
        <w:sz w:val="20"/>
        <w:szCs w:val="20"/>
      </w:rPr>
    </w:pPr>
    <w:r w:rsidRPr="00807DD0">
      <w:rPr>
        <w:rFonts w:ascii="Times New Roman" w:hAnsi="Times New Roman" w:cs="Times New Roman"/>
        <w:color w:val="auto"/>
        <w:sz w:val="20"/>
        <w:szCs w:val="20"/>
      </w:rPr>
      <w:t>CAC-FIN-</w:t>
    </w:r>
    <w:r>
      <w:rPr>
        <w:rFonts w:ascii="Times New Roman" w:hAnsi="Times New Roman" w:cs="Times New Roman"/>
        <w:color w:val="auto"/>
        <w:sz w:val="20"/>
        <w:szCs w:val="20"/>
      </w:rPr>
      <w:t>J</w:t>
    </w:r>
    <w:r w:rsidR="00D55139">
      <w:rPr>
        <w:rFonts w:ascii="Times New Roman" w:hAnsi="Times New Roman" w:cs="Times New Roman"/>
        <w:color w:val="auto"/>
        <w:sz w:val="20"/>
        <w:szCs w:val="20"/>
      </w:rPr>
      <w:t>101</w:t>
    </w:r>
    <w:r w:rsidRPr="00807DD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00EF7637">
      <w:rPr>
        <w:rFonts w:ascii="Times New Roman" w:hAnsi="Times New Roman" w:cs="Times New Roman"/>
        <w:color w:val="auto"/>
        <w:sz w:val="20"/>
        <w:szCs w:val="20"/>
      </w:rPr>
      <w:t>10</w:t>
    </w:r>
    <w:r w:rsidR="00D55139">
      <w:rPr>
        <w:rFonts w:ascii="Times New Roman" w:hAnsi="Times New Roman" w:cs="Times New Roman"/>
        <w:color w:val="auto"/>
        <w:sz w:val="20"/>
        <w:szCs w:val="20"/>
      </w:rPr>
      <w:t>-</w:t>
    </w:r>
    <w:r w:rsidR="00EF7637">
      <w:rPr>
        <w:rFonts w:ascii="Times New Roman" w:hAnsi="Times New Roman" w:cs="Times New Roman"/>
        <w:color w:val="auto"/>
        <w:sz w:val="20"/>
        <w:szCs w:val="20"/>
      </w:rPr>
      <w:t>9</w:t>
    </w:r>
    <w:r w:rsidR="00D55139">
      <w:rPr>
        <w:rFonts w:ascii="Times New Roman" w:hAnsi="Times New Roman" w:cs="Times New Roman"/>
        <w:color w:val="auto"/>
        <w:sz w:val="20"/>
        <w:szCs w:val="20"/>
      </w:rPr>
      <w:t>-2020</w:t>
    </w:r>
  </w:p>
  <w:p w14:paraId="26830CF1" w14:textId="77777777" w:rsidR="0097151B" w:rsidRDefault="00971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C543B" w14:textId="77777777" w:rsidR="00AC4B44" w:rsidRDefault="00AC4B44" w:rsidP="0097151B">
      <w:r>
        <w:separator/>
      </w:r>
    </w:p>
  </w:footnote>
  <w:footnote w:type="continuationSeparator" w:id="0">
    <w:p w14:paraId="71C5D376" w14:textId="77777777" w:rsidR="00AC4B44" w:rsidRDefault="00AC4B44" w:rsidP="00971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1B"/>
    <w:rsid w:val="000E39E3"/>
    <w:rsid w:val="00165212"/>
    <w:rsid w:val="0017641E"/>
    <w:rsid w:val="002261BA"/>
    <w:rsid w:val="002C229C"/>
    <w:rsid w:val="0033251C"/>
    <w:rsid w:val="00450F8D"/>
    <w:rsid w:val="004901BD"/>
    <w:rsid w:val="0054215A"/>
    <w:rsid w:val="0055717A"/>
    <w:rsid w:val="005B4417"/>
    <w:rsid w:val="00611399"/>
    <w:rsid w:val="00620801"/>
    <w:rsid w:val="006732EE"/>
    <w:rsid w:val="00691EB6"/>
    <w:rsid w:val="008F3AA8"/>
    <w:rsid w:val="00966CE1"/>
    <w:rsid w:val="0097151B"/>
    <w:rsid w:val="009C78AB"/>
    <w:rsid w:val="009E0371"/>
    <w:rsid w:val="00AC4B44"/>
    <w:rsid w:val="00AE7E41"/>
    <w:rsid w:val="00CE1D54"/>
    <w:rsid w:val="00D52068"/>
    <w:rsid w:val="00D55139"/>
    <w:rsid w:val="00D55EC0"/>
    <w:rsid w:val="00DE7486"/>
    <w:rsid w:val="00E359C6"/>
    <w:rsid w:val="00E47DB6"/>
    <w:rsid w:val="00E65067"/>
    <w:rsid w:val="00EB72DC"/>
    <w:rsid w:val="00EF7637"/>
    <w:rsid w:val="00F3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591C4"/>
  <w15:chartTrackingRefBased/>
  <w15:docId w15:val="{FEEA2089-13BF-4B54-BE69-9557128B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5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151B"/>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styleId="Header">
    <w:name w:val="header"/>
    <w:basedOn w:val="Normal"/>
    <w:link w:val="HeaderChar"/>
    <w:uiPriority w:val="99"/>
    <w:unhideWhenUsed/>
    <w:rsid w:val="0097151B"/>
    <w:pPr>
      <w:tabs>
        <w:tab w:val="center" w:pos="4680"/>
        <w:tab w:val="right" w:pos="9360"/>
      </w:tabs>
    </w:pPr>
  </w:style>
  <w:style w:type="character" w:customStyle="1" w:styleId="HeaderChar">
    <w:name w:val="Header Char"/>
    <w:basedOn w:val="DefaultParagraphFont"/>
    <w:link w:val="Header"/>
    <w:uiPriority w:val="99"/>
    <w:rsid w:val="009715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51B"/>
    <w:pPr>
      <w:tabs>
        <w:tab w:val="center" w:pos="4680"/>
        <w:tab w:val="right" w:pos="9360"/>
      </w:tabs>
    </w:pPr>
  </w:style>
  <w:style w:type="character" w:customStyle="1" w:styleId="FooterChar">
    <w:name w:val="Footer Char"/>
    <w:basedOn w:val="DefaultParagraphFont"/>
    <w:link w:val="Footer"/>
    <w:uiPriority w:val="99"/>
    <w:rsid w:val="0097151B"/>
    <w:rPr>
      <w:rFonts w:ascii="Times New Roman" w:eastAsia="Times New Roman" w:hAnsi="Times New Roman" w:cs="Times New Roman"/>
      <w:sz w:val="24"/>
      <w:szCs w:val="24"/>
    </w:rPr>
  </w:style>
  <w:style w:type="paragraph" w:styleId="NormalWeb">
    <w:name w:val="Normal (Web)"/>
    <w:basedOn w:val="Normal"/>
    <w:uiPriority w:val="99"/>
    <w:unhideWhenUsed/>
    <w:rsid w:val="0097151B"/>
    <w:pPr>
      <w:spacing w:before="100" w:beforeAutospacing="1" w:after="100" w:afterAutospacing="1"/>
    </w:pPr>
  </w:style>
  <w:style w:type="character" w:styleId="Hyperlink">
    <w:name w:val="Hyperlink"/>
    <w:basedOn w:val="DefaultParagraphFont"/>
    <w:uiPriority w:val="99"/>
    <w:semiHidden/>
    <w:unhideWhenUsed/>
    <w:rsid w:val="0097151B"/>
    <w:rPr>
      <w:color w:val="0000FF"/>
      <w:u w:val="single"/>
    </w:rPr>
  </w:style>
  <w:style w:type="paragraph" w:styleId="BalloonText">
    <w:name w:val="Balloon Text"/>
    <w:basedOn w:val="Normal"/>
    <w:link w:val="BalloonTextChar"/>
    <w:uiPriority w:val="99"/>
    <w:semiHidden/>
    <w:unhideWhenUsed/>
    <w:rsid w:val="00691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B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91EB6"/>
    <w:rPr>
      <w:sz w:val="16"/>
      <w:szCs w:val="16"/>
    </w:rPr>
  </w:style>
  <w:style w:type="paragraph" w:styleId="CommentText">
    <w:name w:val="annotation text"/>
    <w:basedOn w:val="Normal"/>
    <w:link w:val="CommentTextChar"/>
    <w:uiPriority w:val="99"/>
    <w:semiHidden/>
    <w:unhideWhenUsed/>
    <w:rsid w:val="00691EB6"/>
    <w:rPr>
      <w:sz w:val="20"/>
      <w:szCs w:val="20"/>
    </w:rPr>
  </w:style>
  <w:style w:type="character" w:customStyle="1" w:styleId="CommentTextChar">
    <w:name w:val="Comment Text Char"/>
    <w:basedOn w:val="DefaultParagraphFont"/>
    <w:link w:val="CommentText"/>
    <w:uiPriority w:val="99"/>
    <w:semiHidden/>
    <w:rsid w:val="00691E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EB6"/>
    <w:rPr>
      <w:b/>
      <w:bCs/>
    </w:rPr>
  </w:style>
  <w:style w:type="character" w:customStyle="1" w:styleId="CommentSubjectChar">
    <w:name w:val="Comment Subject Char"/>
    <w:basedOn w:val="CommentTextChar"/>
    <w:link w:val="CommentSubject"/>
    <w:uiPriority w:val="99"/>
    <w:semiHidden/>
    <w:rsid w:val="00691EB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9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Working On</_Status>
    <Revision_x0020__x0023_ xmlns="6f8536ae-3719-4727-a94d-6f4a0f5c1350">0</Revision_x0020__x0023_>
    <Form_x0020_Category xmlns="6f8536ae-3719-4727-a94d-6f4a0f5c1350">
      <Value>4</Value>
      <Value>6</Value>
    </Form_x0020_Category>
    <Revision_x0020_Date xmlns="6f8536ae-3719-4727-a94d-6f4a0f5c1350">2020-10-09T08:00:00+00:00</Revision_x0020_Date>
    <Form_x0020_Subcategory xmlns="6f8536ae-3719-4727-a94d-6f4a0f5c1350">
      <Value>4</Value>
      <Value>7</Value>
      <Value>2</Value>
      <Value>5</Value>
    </Form_x0020_Subcategory>
    <Less3k xmlns="6f8536ae-3719-4727-a94d-6f4a0f5c1350">true</Less3k>
    <Greater3k xmlns="6f8536ae-3719-4727-a94d-6f4a0f5c1350">true</Greater3k>
    <LinkCreated xmlns="8a6bc177-96ec-4a23-aa28-86098874eee6">false</LinkCreated>
    <Document_x0020__x0023_ xmlns="6f8536ae-3719-4727-a94d-6f4a0f5c1350">CAC-FIN-J101</Document_x0020__x0023_>
    <Subcategory xmlns="6f8536ae-3719-4727-a94d-6f4a0f5c13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curement Form" ma:contentTypeID="0x010100021FDB1306C869409A35ECF79CE425A400188AB2718BADD34CA2EE2FF53D367C4E" ma:contentTypeVersion="82" ma:contentTypeDescription="" ma:contentTypeScope="" ma:versionID="23f5a836ff8680a1e195dc9d49df6738">
  <xsd:schema xmlns:xsd="http://www.w3.org/2001/XMLSchema" xmlns:xs="http://www.w3.org/2001/XMLSchema" xmlns:p="http://schemas.microsoft.com/office/2006/metadata/properties" xmlns:ns2="6f8536ae-3719-4727-a94d-6f4a0f5c1350" xmlns:ns3="http://schemas.microsoft.com/sharepoint/v3/fields" xmlns:ns4="8a6bc177-96ec-4a23-aa28-86098874eee6" targetNamespace="http://schemas.microsoft.com/office/2006/metadata/properties" ma:root="true" ma:fieldsID="1268a3e8d487ab0eb6fb123d7e81f49f" ns2:_="" ns3:_="" ns4:_="">
    <xsd:import namespace="6f8536ae-3719-4727-a94d-6f4a0f5c1350"/>
    <xsd:import namespace="http://schemas.microsoft.com/sharepoint/v3/fields"/>
    <xsd:import namespace="8a6bc177-96ec-4a23-aa28-86098874eee6"/>
    <xsd:element name="properties">
      <xsd:complexType>
        <xsd:sequence>
          <xsd:element name="documentManagement">
            <xsd:complexType>
              <xsd:all>
                <xsd:element ref="ns2:Form_x0020_Category" minOccurs="0"/>
                <xsd:element ref="ns2:Form_x0020_Subcategory" minOccurs="0"/>
                <xsd:element ref="ns2:Document_x0020__x0023_" minOccurs="0"/>
                <xsd:element ref="ns2:Revision_x0020__x0023_" minOccurs="0"/>
                <xsd:element ref="ns2:Revision_x0020_Date" minOccurs="0"/>
                <xsd:element ref="ns2:Less3k" minOccurs="0"/>
                <xsd:element ref="ns2:Greater3k" minOccurs="0"/>
                <xsd:element ref="ns3:_Status" minOccurs="0"/>
                <xsd:element ref="ns4:LinkCreated"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36ae-3719-4727-a94d-6f4a0f5c1350" elementFormDefault="qualified">
    <xsd:import namespace="http://schemas.microsoft.com/office/2006/documentManagement/types"/>
    <xsd:import namespace="http://schemas.microsoft.com/office/infopath/2007/PartnerControls"/>
    <xsd:element name="Form_x0020_Category" ma:index="2" nillable="true" ma:displayName="Form Category" ma:list="{826bb171-aa7f-4edb-bf2d-dd80aefd88a1}" ma:internalName="Form_x0020_Category" ma:readOnly="false" ma:showField="Title" ma:web="6f8536ae-3719-4727-a94d-6f4a0f5c1350">
      <xsd:complexType>
        <xsd:complexContent>
          <xsd:extension base="dms:MultiChoiceLookup">
            <xsd:sequence>
              <xsd:element name="Value" type="dms:Lookup" maxOccurs="unbounded" minOccurs="0" nillable="true"/>
            </xsd:sequence>
          </xsd:extension>
        </xsd:complexContent>
      </xsd:complexType>
    </xsd:element>
    <xsd:element name="Form_x0020_Subcategory" ma:index="3" nillable="true" ma:displayName="Form Subcategory" ma:list="{327a392a-676b-472f-9359-8df8b30b0cad}" ma:internalName="Form_x0020_Subcategory" ma:readOnly="false" ma:showField="Title" ma:web="6f8536ae-3719-4727-a94d-6f4a0f5c1350">
      <xsd:complexType>
        <xsd:complexContent>
          <xsd:extension base="dms:MultiChoiceLookup">
            <xsd:sequence>
              <xsd:element name="Value" type="dms:Lookup" maxOccurs="unbounded" minOccurs="0" nillable="true"/>
            </xsd:sequence>
          </xsd:extension>
        </xsd:complexContent>
      </xsd:complexType>
    </xsd:element>
    <xsd:element name="Document_x0020__x0023_" ma:index="4" nillable="true" ma:displayName="Document #" ma:indexed="true" ma:internalName="Document_x0020__x0023_" ma:readOnly="false">
      <xsd:simpleType>
        <xsd:restriction base="dms:Text">
          <xsd:maxLength value="255"/>
        </xsd:restriction>
      </xsd:simpleType>
    </xsd:element>
    <xsd:element name="Revision_x0020__x0023_" ma:index="5" nillable="true" ma:displayName="Revision #" ma:internalName="Revision_x0020__x0023_" ma:readOnly="false">
      <xsd:simpleType>
        <xsd:restriction base="dms:Text">
          <xsd:maxLength value="3"/>
        </xsd:restriction>
      </xsd:simpleType>
    </xsd:element>
    <xsd:element name="Revision_x0020_Date" ma:index="6" nillable="true" ma:displayName="Revision Date" ma:format="DateOnly" ma:internalName="Revision_x0020_Date" ma:readOnly="false">
      <xsd:simpleType>
        <xsd:restriction base="dms:DateTime"/>
      </xsd:simpleType>
    </xsd:element>
    <xsd:element name="Less3k" ma:index="7" nillable="true" ma:displayName="Micro-Purchase Threshold and Under" ma:default="0" ma:internalName="Less3k" ma:readOnly="false">
      <xsd:simpleType>
        <xsd:restriction base="dms:Boolean"/>
      </xsd:simpleType>
    </xsd:element>
    <xsd:element name="Greater3k" ma:index="8" nillable="true" ma:displayName="Over Micro-Purchase Threshold" ma:default="0" ma:internalName="Greater3k" ma:readOnly="false">
      <xsd:simpleType>
        <xsd:restriction base="dms:Boolean"/>
      </xsd:simpleType>
    </xsd:element>
    <xsd:element name="Subcategory" ma:index="15" nillable="true" ma:displayName="Subcategory" ma:description="Form Subcategory in text for grouping" ma:hidden="true" ma:internalName="Subcategor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scription="" ma:format="Dropdown" ma:indexed="true" ma:internalName="_Status" ma:readOnly="false">
      <xsd:simpleType>
        <xsd:restriction base="dms:Choice">
          <xsd:enumeration value="Working On"/>
          <xsd:enumeration value="Test &amp; Approve"/>
          <xsd:enumeration value="Needs Additional Work"/>
          <xsd:enumeration value="Publish to PKB"/>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8a6bc177-96ec-4a23-aa28-86098874eee6" elementFormDefault="qualified">
    <xsd:import namespace="http://schemas.microsoft.com/office/2006/documentManagement/types"/>
    <xsd:import namespace="http://schemas.microsoft.com/office/infopath/2007/PartnerControls"/>
    <xsd:element name="LinkCreated" ma:index="10" nillable="true" ma:displayName="Create/Update Link?" ma:default="0" ma:description="Only check this box if you need a link created on the PKB homepage." ma:internalName="LinkCrea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E66E-F632-4256-B106-272A8E3B90D9}">
  <ds:schemaRefs>
    <ds:schemaRef ds:uri="http://schemas.microsoft.com/sharepoint/v3/contenttype/forms"/>
  </ds:schemaRefs>
</ds:datastoreItem>
</file>

<file path=customXml/itemProps2.xml><?xml version="1.0" encoding="utf-8"?>
<ds:datastoreItem xmlns:ds="http://schemas.openxmlformats.org/officeDocument/2006/customXml" ds:itemID="{4305E57E-AF9F-4B01-9F23-E8F27BEFA3EE}">
  <ds:schemaRefs>
    <ds:schemaRef ds:uri="http://purl.org/dc/terms/"/>
    <ds:schemaRef ds:uri="http://schemas.microsoft.com/office/2006/metadata/properties"/>
    <ds:schemaRef ds:uri="6f8536ae-3719-4727-a94d-6f4a0f5c1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8a6bc177-96ec-4a23-aa28-86098874eee6"/>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25C58893-0F87-4F1F-B17A-C35DE1E48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36ae-3719-4727-a94d-6f4a0f5c1350"/>
    <ds:schemaRef ds:uri="http://schemas.microsoft.com/sharepoint/v3/fields"/>
    <ds:schemaRef ds:uri="8a6bc177-96ec-4a23-aa28-86098874e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DDD49-DF8D-4158-9656-3402597B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Chugach Government Solutions, LLC</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 Regarding Certain Telecommunications and Video Surveillance Services or Equipment</dc:title>
  <dc:subject/>
  <dc:creator>Terry Tramp</dc:creator>
  <cp:keywords/>
  <dc:description/>
  <cp:lastModifiedBy>Terry Tramp</cp:lastModifiedBy>
  <cp:revision>9</cp:revision>
  <dcterms:created xsi:type="dcterms:W3CDTF">2020-09-01T19:42:00Z</dcterms:created>
  <dcterms:modified xsi:type="dcterms:W3CDTF">2020-10-07T15:57:00Z</dcterms:modified>
  <cp:contentStatus>Test &amp; Approve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0x010100021FDB1306C869409A35ECF79CE425A400188AB2718BADD34CA2EE2FF53D367C4E</vt:lpwstr>
  </property>
  <property fmtid="{D5CDD505-2E9C-101B-9397-08002B2CF9AE}" pid="3" name="_ip_UnifiedCompliancePolicyProperties">
    <vt:lpwstr/>
  </property>
  <property fmtid="{D5CDD505-2E9C-101B-9397-08002B2CF9AE}" pid="4" name="Publish">
    <vt:lpwstr>https://chug.sharepoint.com/sites/Department/pkb/_layouts/15/wrkstat.aspx?List=8a6bc177-96ec-4a23-aa28-86098874eee6&amp;WorkflowInstanceName=c6b128fd-9b4c-431b-b574-46451a89ad7c, Complete</vt:lpwstr>
  </property>
  <property fmtid="{D5CDD505-2E9C-101B-9397-08002B2CF9AE}" pid="5" name="_ip_UnifiedCompliancePolicyUIAction">
    <vt:lpwstr/>
  </property>
</Properties>
</file>